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</w:tcPr>
          <w:p>
            <w:r>
              <w:rPr>
                <w:b/>
                <w:color w:val="0070C0"/>
                <w:sz w:val="48"/>
              </w:rPr>
              <w:t>AGDAR CENTRE</w:t>
            </w:r>
          </w:p>
          <w:p>
            <w:r>
              <w:rPr>
                <w:color w:val="666666"/>
                <w:sz w:val="20"/>
              </w:rPr>
              <w:t>Multidisciplinary Healthcare Services</w:t>
            </w:r>
          </w:p>
          <w:p>
            <w:r>
              <w:rPr>
                <w:color w:val="666666"/>
                <w:sz w:val="20"/>
              </w:rPr>
              <w:t>Kingdom of Saudi Arabia</w:t>
            </w:r>
          </w:p>
          <w:p>
            <w:r>
              <w:rPr>
                <w:color w:val="666666"/>
                <w:sz w:val="20"/>
              </w:rPr>
              <w:t>VAT No: 300000000000003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rPr>
                <w:b/>
                <w:sz w:val="56"/>
              </w:rPr>
              <w:t>QUOTATION</w:t>
            </w:r>
          </w:p>
          <w:p>
            <w:pPr>
              <w:jc w:val="right"/>
            </w:pPr>
            <w:r>
              <w:rPr>
                <w:color w:val="666666"/>
                <w:sz w:val="22"/>
              </w:rPr>
              <w:t>Quote #: QT-2025-001</w:t>
            </w:r>
          </w:p>
          <w:p>
            <w:pPr>
              <w:jc w:val="right"/>
            </w:pPr>
            <w:r>
              <w:rPr>
                <w:color w:val="666666"/>
                <w:sz w:val="20"/>
              </w:rPr>
              <w:t>Date: November 30, 2025</w:t>
            </w:r>
          </w:p>
        </w:tc>
      </w:tr>
    </w:tbl>
    <w:p>
      <w:pPr>
        <w:pBdr>
          <w:bottom w:val="single" w:sz="12" w:space="1" w:color="0070C0"/>
        </w:pBdr>
      </w:pPr>
    </w:p>
    <w:p/>
    <w:p>
      <w:r>
        <w:rPr>
          <w:b/>
          <w:color w:val="0070C0"/>
          <w:sz w:val="24"/>
        </w:rPr>
        <w:t>QUOTATION FOR:</w:t>
      </w:r>
    </w:p>
    <w:p>
      <w:r>
        <w:rPr>
          <w:b/>
          <w:sz w:val="28"/>
        </w:rPr>
        <w:t>Agdar Centre - Solution Implementation</w:t>
      </w:r>
    </w:p>
    <w:p/>
    <w:p>
      <w:r>
        <w:rPr>
          <w:b/>
          <w:color w:val="0C5460"/>
          <w:sz w:val="22"/>
        </w:rPr>
        <w:t>⏰ This quotation is valid for 30 days from the date of issue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070C0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2340"/>
            <w:shd w:fill="0070C0"/>
          </w:tcPr>
          <w:p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2340"/>
            <w:shd w:fill="0070C0"/>
          </w:tcPr>
          <w:p>
            <w:pPr>
              <w:jc w:val="center"/>
            </w:pPr>
            <w:r>
              <w:rPr>
                <w:b/>
                <w:color w:val="FFFFFF"/>
              </w:rPr>
              <w:t>Quantity</w:t>
            </w:r>
          </w:p>
        </w:tc>
        <w:tc>
          <w:tcPr>
            <w:tcW w:type="dxa" w:w="2340"/>
            <w:shd w:fill="0070C0"/>
          </w:tcPr>
          <w:p>
            <w:pPr>
              <w:jc w:val="right"/>
            </w:pPr>
            <w:r>
              <w:rPr>
                <w:b/>
                <w:color w:val="FFFFFF"/>
              </w:rPr>
              <w:t>Amount (SAR)</w:t>
            </w:r>
          </w:p>
        </w:tc>
      </w:tr>
      <w:tr>
        <w:tc>
          <w:tcPr>
            <w:tcW w:type="dxa" w:w="2340"/>
          </w:tcPr>
          <w:p>
            <w:r>
              <w:t>1</w:t>
            </w:r>
          </w:p>
        </w:tc>
        <w:tc>
          <w:tcPr>
            <w:tcW w:type="dxa" w:w="2340"/>
          </w:tcPr>
          <w:p>
            <w:r>
              <w:rPr>
                <w:b/>
              </w:rPr>
              <w:t>Healthcare Management Solution</w:t>
              <w:br/>
            </w:r>
            <w:r>
              <w:rPr>
                <w:sz w:val="20"/>
              </w:rPr>
              <w:br/>
              <w:t>Complete implementation of multidisciplinary healthcare management system including:</w:t>
              <w:br/>
            </w:r>
          </w:p>
          <w:p>
            <w:pPr>
              <w:pStyle w:val="ListBullet"/>
            </w:pPr>
            <w:r>
              <w:rPr>
                <w:sz w:val="18"/>
              </w:rPr>
              <w:t>• Patient Management System</w:t>
            </w:r>
          </w:p>
          <w:p>
            <w:pPr>
              <w:pStyle w:val="ListBullet"/>
            </w:pPr>
            <w:r>
              <w:rPr>
                <w:sz w:val="18"/>
              </w:rPr>
              <w:t>• Appointment Scheduling &amp; Management</w:t>
            </w:r>
          </w:p>
          <w:p>
            <w:pPr>
              <w:pStyle w:val="ListBullet"/>
            </w:pPr>
            <w:r>
              <w:rPr>
                <w:sz w:val="18"/>
              </w:rPr>
              <w:t>• Clinical Documentation (ABA, OT, SLP, Psychology, Medical, Nursing)</w:t>
            </w:r>
          </w:p>
          <w:p>
            <w:pPr>
              <w:pStyle w:val="ListBullet"/>
            </w:pPr>
            <w:r>
              <w:rPr>
                <w:sz w:val="18"/>
              </w:rPr>
              <w:t>• Financial &amp; Billing System with ZATCA E-Invoice Integration</w:t>
            </w:r>
          </w:p>
          <w:p>
            <w:pPr>
              <w:pStyle w:val="ListBullet"/>
            </w:pPr>
            <w:r>
              <w:rPr>
                <w:sz w:val="18"/>
              </w:rPr>
              <w:t>• Package Management &amp; Scheduling</w:t>
            </w:r>
          </w:p>
          <w:p>
            <w:pPr>
              <w:pStyle w:val="ListBullet"/>
            </w:pPr>
            <w:r>
              <w:rPr>
                <w:sz w:val="18"/>
              </w:rPr>
              <w:t>• Multi-Disciplinary Team (MDT) Collaboration</w:t>
            </w:r>
          </w:p>
          <w:p>
            <w:pPr>
              <w:pStyle w:val="ListBullet"/>
            </w:pPr>
            <w:r>
              <w:rPr>
                <w:sz w:val="18"/>
              </w:rPr>
              <w:t>• Notifications &amp; Communication System</w:t>
            </w:r>
          </w:p>
          <w:p>
            <w:pPr>
              <w:pStyle w:val="ListBullet"/>
            </w:pPr>
            <w:r>
              <w:rPr>
                <w:sz w:val="18"/>
              </w:rPr>
              <w:t>• Reporting &amp; Analytics</w:t>
            </w:r>
          </w:p>
          <w:p>
            <w:pPr>
              <w:pStyle w:val="ListBullet"/>
            </w:pPr>
            <w:r>
              <w:rPr>
                <w:sz w:val="18"/>
              </w:rPr>
              <w:t>• User Management &amp; Access Control</w:t>
            </w:r>
          </w:p>
        </w:tc>
        <w:tc>
          <w:tcPr>
            <w:tcW w:type="dxa" w:w="234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340"/>
          </w:tcPr>
          <w:p>
            <w:pPr>
              <w:jc w:val="right"/>
            </w:pPr>
            <w:r>
              <w:t>50,000.00</w:t>
            </w:r>
          </w:p>
        </w:tc>
      </w:tr>
    </w:tbl>
    <w:p/>
    <w:tbl>
      <w:tblPr>
        <w:tblW w:type="auto" w:w="0"/>
        <w:jc w:val="righ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</w:tcPr>
          <w:p>
            <w:r>
              <w:t>Subtotal: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t>50,000.00 SAR</w:t>
            </w:r>
          </w:p>
        </w:tc>
      </w:tr>
      <w:tr>
        <w:tc>
          <w:tcPr>
            <w:tcW w:type="dxa" w:w="4680"/>
          </w:tcPr>
          <w:p>
            <w:r>
              <w:t>VAT (15%):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t>7,500.00 SAR</w:t>
            </w:r>
          </w:p>
        </w:tc>
      </w:tr>
      <w:tr>
        <w:tc>
          <w:tcPr>
            <w:tcW w:type="dxa" w:w="4680"/>
          </w:tcPr>
          <w:p>
            <w:r>
              <w:rPr>
                <w:b/>
                <w:color w:val="0070C0"/>
                <w:sz w:val="28"/>
              </w:rPr>
              <w:t>TOTAL AMOUNT: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rPr>
                <w:b/>
                <w:color w:val="0070C0"/>
                <w:sz w:val="28"/>
              </w:rPr>
              <w:t>57,500.00 SAR</w:t>
            </w:r>
          </w:p>
        </w:tc>
      </w:tr>
    </w:tbl>
    <w:p/>
    <w:p>
      <w:r>
        <w:rPr>
          <w:b/>
          <w:color w:val="0070C0"/>
          <w:sz w:val="24"/>
        </w:rPr>
        <w:t>💳 PAYMENT TERMS</w:t>
      </w:r>
    </w:p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</w:tcPr>
          <w:p>
            <w:r>
              <w:rPr>
                <w:b/>
              </w:rPr>
              <w:t>Down Payment (30%):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rPr>
                <w:b/>
                <w:color w:val="0070C0"/>
              </w:rPr>
              <w:t>17,250.00 SAR</w:t>
            </w:r>
          </w:p>
        </w:tc>
      </w:tr>
      <w:tr>
        <w:tc>
          <w:tcPr>
            <w:tcW w:type="dxa" w:w="4680"/>
          </w:tcPr>
          <w:p>
            <w:r>
              <w:rPr>
                <w:b/>
              </w:rPr>
              <w:t>Month 1 Payment: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rPr>
                <w:b/>
                <w:color w:val="0070C0"/>
              </w:rPr>
              <w:t>13,416.67 SAR</w:t>
            </w:r>
          </w:p>
        </w:tc>
      </w:tr>
      <w:tr>
        <w:tc>
          <w:tcPr>
            <w:tcW w:type="dxa" w:w="4680"/>
          </w:tcPr>
          <w:p>
            <w:r>
              <w:rPr>
                <w:b/>
              </w:rPr>
              <w:t>Month 2 Payment: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rPr>
                <w:b/>
                <w:color w:val="0070C0"/>
              </w:rPr>
              <w:t>13,416.67 SAR</w:t>
            </w:r>
          </w:p>
        </w:tc>
      </w:tr>
      <w:tr>
        <w:tc>
          <w:tcPr>
            <w:tcW w:type="dxa" w:w="4680"/>
          </w:tcPr>
          <w:p>
            <w:r>
              <w:rPr>
                <w:b/>
              </w:rPr>
              <w:t>Month 3 Payment (Final):</w:t>
            </w:r>
          </w:p>
        </w:tc>
        <w:tc>
          <w:tcPr>
            <w:tcW w:type="dxa" w:w="4680"/>
          </w:tcPr>
          <w:p>
            <w:pPr>
              <w:jc w:val="right"/>
            </w:pPr>
            <w:r>
              <w:rPr>
                <w:b/>
                <w:color w:val="0070C0"/>
              </w:rPr>
              <w:t>13,416.66 SAR</w:t>
            </w:r>
          </w:p>
        </w:tc>
      </w:tr>
      <w:tr>
        <w:tc>
          <w:tcPr>
            <w:tcW w:type="dxa" w:w="4680"/>
          </w:tcPr>
          <w:p/>
        </w:tc>
        <w:tc>
          <w:tcPr>
            <w:tcW w:type="dxa" w:w="4680"/>
          </w:tcPr>
          <w:p/>
        </w:tc>
      </w:tr>
    </w:tbl>
    <w:p/>
    <w:p>
      <w:r>
        <w:rPr>
          <w:b/>
        </w:rPr>
        <w:t>Payment Schedule:</w:t>
        <w:br/>
      </w:r>
      <w:r>
        <w:rPr>
          <w:sz w:val="20"/>
        </w:rPr>
        <w:t>• 30% down payment due upon acceptance of quotation</w:t>
        <w:br/>
      </w:r>
      <w:r>
        <w:rPr>
          <w:sz w:val="20"/>
        </w:rPr>
        <w:t>• Remaining 70% (40,250.00 SAR) to be paid in 3 equal monthly installments</w:t>
        <w:br/>
      </w:r>
      <w:r>
        <w:rPr>
          <w:sz w:val="20"/>
        </w:rPr>
        <w:t>• Each installment approximately 13,416.67 SAR</w:t>
      </w:r>
    </w:p>
    <w:p/>
    <w:p>
      <w:r>
        <w:rPr>
          <w:b/>
          <w:color w:val="0070C0"/>
          <w:sz w:val="24"/>
        </w:rPr>
        <w:t>📋 TERMS &amp; CONDITIONS</w:t>
      </w:r>
    </w:p>
    <w:p>
      <w:pPr>
        <w:pStyle w:val="ListBullet"/>
      </w:pPr>
      <w:r>
        <w:rPr>
          <w:sz w:val="20"/>
        </w:rPr>
        <w:t>This quotation is valid for 30 days from the date of issue</w:t>
      </w:r>
    </w:p>
    <w:p>
      <w:pPr>
        <w:pStyle w:val="ListBullet"/>
      </w:pPr>
      <w:r>
        <w:rPr>
          <w:sz w:val="20"/>
        </w:rPr>
        <w:t>Prices are in Saudi Riyals (SAR) and include 15% VAT</w:t>
      </w:r>
    </w:p>
    <w:p>
      <w:pPr>
        <w:pStyle w:val="ListBullet"/>
      </w:pPr>
      <w:r>
        <w:rPr>
          <w:sz w:val="20"/>
        </w:rPr>
        <w:t>Down payment of 30% is required to commence work</w:t>
      </w:r>
    </w:p>
    <w:p>
      <w:pPr>
        <w:pStyle w:val="ListBullet"/>
      </w:pPr>
      <w:r>
        <w:rPr>
          <w:sz w:val="20"/>
        </w:rPr>
        <w:t>Monthly installments are due on the same date each month</w:t>
      </w:r>
    </w:p>
    <w:p>
      <w:pPr>
        <w:pStyle w:val="ListBullet"/>
      </w:pPr>
      <w:r>
        <w:rPr>
          <w:sz w:val="20"/>
        </w:rPr>
        <w:t>Late payment may incur additional charges as per agreement</w:t>
      </w:r>
    </w:p>
    <w:p>
      <w:pPr>
        <w:pStyle w:val="ListBullet"/>
      </w:pPr>
      <w:r>
        <w:rPr>
          <w:sz w:val="20"/>
        </w:rPr>
        <w:t>All payments should be made via bank transfer or approved payment methods</w:t>
      </w:r>
    </w:p>
    <w:p>
      <w:pPr>
        <w:pStyle w:val="ListBullet"/>
      </w:pPr>
      <w:r>
        <w:rPr>
          <w:sz w:val="20"/>
        </w:rPr>
        <w:t>Implementation timeline will be confirmed upon contract signing</w:t>
      </w:r>
    </w:p>
    <w:p>
      <w:pPr>
        <w:pStyle w:val="ListBullet"/>
      </w:pPr>
      <w:r>
        <w:rPr>
          <w:sz w:val="20"/>
        </w:rPr>
        <w:t>Training and support included as per service agreement</w:t>
      </w:r>
    </w:p>
    <w:p>
      <w:pPr>
        <w:pStyle w:val="ListBullet"/>
      </w:pPr>
      <w:r>
        <w:rPr>
          <w:sz w:val="20"/>
        </w:rPr>
        <w:t>Warranty and maintenance terms as per separate agreement</w:t>
      </w:r>
    </w:p>
    <w:p/>
    <w:p/>
    <w:tbl>
      <w:tblPr>
        <w:tblW w:type="auto" w:w="0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</w:tcPr>
          <w:p>
            <w:r/>
          </w:p>
        </w:tc>
        <w:tc>
          <w:tcPr>
            <w:tcW w:type="dxa" w:w="4680"/>
          </w:tcPr>
          <w:p>
            <w:r/>
          </w:p>
        </w:tc>
      </w:tr>
      <w:tr>
        <w:tc>
          <w:tcPr>
            <w:tcW w:type="dxa" w:w="4680"/>
          </w:tcPr>
          <w:p>
            <w:r>
              <w:t>______________________________</w:t>
            </w:r>
          </w:p>
        </w:tc>
        <w:tc>
          <w:tcPr>
            <w:tcW w:type="dxa" w:w="4680"/>
          </w:tcPr>
          <w:p>
            <w:pPr>
              <w:jc w:val="center"/>
            </w:pPr>
            <w:r>
              <w:t>______________________________</w:t>
            </w:r>
          </w:p>
        </w:tc>
      </w:tr>
      <w:tr>
        <w:tc>
          <w:tcPr>
            <w:tcW w:type="dxa" w:w="4680"/>
          </w:tcPr>
          <w:p>
            <w:pPr>
              <w:jc w:val="center"/>
            </w:pPr>
            <w:r>
              <w:rPr>
                <w:b/>
              </w:rPr>
              <w:t>Prepared By</w:t>
              <w:br/>
              <w:t>Agdar Centre</w:t>
            </w:r>
          </w:p>
        </w:tc>
        <w:tc>
          <w:tcPr>
            <w:tcW w:type="dxa" w:w="4680"/>
          </w:tcPr>
          <w:p>
            <w:pPr>
              <w:jc w:val="center"/>
            </w:pPr>
            <w:r>
              <w:rPr>
                <w:b/>
              </w:rPr>
              <w:t>Accepted By</w:t>
              <w:br/>
              <w:t>Client Signature &amp; Date</w:t>
            </w:r>
          </w:p>
        </w:tc>
      </w:tr>
    </w:tbl>
    <w:p/>
    <w:p>
      <w:pPr>
        <w:pBdr>
          <w:bottom w:val="single" w:sz="12" w:space="1" w:color="0070C0"/>
        </w:pBdr>
      </w:pPr>
    </w:p>
    <w:p>
      <w:pPr>
        <w:jc w:val="center"/>
      </w:pPr>
      <w:r>
        <w:rPr>
          <w:b/>
          <w:color w:val="666666"/>
          <w:sz w:val="18"/>
        </w:rPr>
        <w:t>AGDAR CENTRE</w:t>
        <w:br/>
      </w:r>
      <w:r>
        <w:rPr>
          <w:color w:val="666666"/>
          <w:sz w:val="18"/>
        </w:rPr>
        <w:t>Kingdom of Saudi Arabia</w:t>
        <w:br/>
      </w:r>
      <w:r>
        <w:rPr>
          <w:color w:val="666666"/>
          <w:sz w:val="18"/>
        </w:rPr>
        <w:t>Email: info@agdarcentre.com | Phone: +966 XX XXX XXXX</w:t>
        <w:br/>
      </w:r>
      <w:r>
        <w:rPr>
          <w:color w:val="666666"/>
          <w:sz w:val="18"/>
        </w:rPr>
        <w:t>VAT Registration Number: 300000000000003</w:t>
        <w:br/>
        <w:br/>
      </w:r>
      <w:r>
        <w:rPr>
          <w:i/>
          <w:color w:val="666666"/>
          <w:sz w:val="18"/>
        </w:rPr>
        <w:t>Thank you for your business!</w:t>
      </w:r>
    </w:p>
    <w:sectPr w:rsidR="00FC693F" w:rsidRPr="0006063C" w:rsidSect="00034616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